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4330" w:rsidRDefault="003B433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07"/>
        <w:gridCol w:w="6379"/>
        <w:gridCol w:w="1762"/>
      </w:tblGrid>
      <w:tr w:rsidR="003B4330">
        <w:tc>
          <w:tcPr>
            <w:tcW w:w="5807" w:type="dxa"/>
            <w:shd w:val="clear" w:color="auto" w:fill="BFBFBF"/>
          </w:tcPr>
          <w:p w:rsidR="003B4330" w:rsidRDefault="008118F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Target 1:</w:t>
            </w:r>
          </w:p>
          <w:p w:rsidR="003B4330" w:rsidRDefault="003B4330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BFBFBF"/>
          </w:tcPr>
          <w:p w:rsidR="003B4330" w:rsidRDefault="008118F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Success Criteria:</w:t>
            </w:r>
          </w:p>
        </w:tc>
        <w:tc>
          <w:tcPr>
            <w:tcW w:w="1762" w:type="dxa"/>
            <w:shd w:val="clear" w:color="auto" w:fill="BFBFBF"/>
          </w:tcPr>
          <w:p w:rsidR="003B4330" w:rsidRDefault="008118F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Lead</w:t>
            </w:r>
          </w:p>
        </w:tc>
      </w:tr>
      <w:tr w:rsidR="003B4330">
        <w:tc>
          <w:tcPr>
            <w:tcW w:w="5807" w:type="dxa"/>
          </w:tcPr>
          <w:p w:rsidR="003B4330" w:rsidRDefault="008118F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 improve standards of reading in the foundation phase and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oracy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of the youngest learners through early intervention strategies and identification of pupils at risk of under-achieving.</w:t>
            </w:r>
          </w:p>
        </w:tc>
        <w:tc>
          <w:tcPr>
            <w:tcW w:w="6379" w:type="dxa"/>
          </w:tcPr>
          <w:p w:rsidR="003B4330" w:rsidRDefault="008118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By the end of year 2 many pupils (with the exception of pupils with ALN) score at or above Wales average on Personalised Assessments.</w:t>
            </w:r>
          </w:p>
          <w:p w:rsidR="003B4330" w:rsidRDefault="008118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Nearly all learners make expected progress on RWI 8 weekly assessments.</w:t>
            </w:r>
          </w:p>
          <w:p w:rsidR="003B4330" w:rsidRDefault="008118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Most parents/carers report that they feel equipped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to help their child learn to read at home.</w:t>
            </w:r>
          </w:p>
          <w:p w:rsidR="003B4330" w:rsidRDefault="008118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Nearly all children who achieve lower than age appropriate amber or red scores on the initial screening will make at least 1 section progress on the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Wellcom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screening after 2 terms with a few making significant p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rogress (up to three sections).</w:t>
            </w:r>
          </w:p>
          <w:p w:rsidR="003B4330" w:rsidRDefault="008118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 20% increase in the number of children achieving an age appropriate green score after 2 terms.</w:t>
            </w:r>
          </w:p>
          <w:p w:rsidR="003B4330" w:rsidRDefault="008118F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Staff report they feel more confident in their knowledge and understanding when identifying and supporting learners with SLCD</w:t>
            </w:r>
          </w:p>
        </w:tc>
        <w:tc>
          <w:tcPr>
            <w:tcW w:w="1762" w:type="dxa"/>
          </w:tcPr>
          <w:p w:rsidR="003B4330" w:rsidRDefault="008118F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. Jones</w:t>
            </w:r>
          </w:p>
          <w:p w:rsidR="003B4330" w:rsidRDefault="008118F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H. Gregory</w:t>
            </w:r>
          </w:p>
          <w:p w:rsidR="003B4330" w:rsidRDefault="008118F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B. Allen</w:t>
            </w:r>
          </w:p>
        </w:tc>
      </w:tr>
      <w:tr w:rsidR="003B4330">
        <w:tc>
          <w:tcPr>
            <w:tcW w:w="5807" w:type="dxa"/>
            <w:shd w:val="clear" w:color="auto" w:fill="A6A6A6"/>
          </w:tcPr>
          <w:p w:rsidR="003B4330" w:rsidRDefault="008118F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Target 2:</w:t>
            </w:r>
          </w:p>
        </w:tc>
        <w:tc>
          <w:tcPr>
            <w:tcW w:w="6379" w:type="dxa"/>
            <w:shd w:val="clear" w:color="auto" w:fill="A6A6A6"/>
          </w:tcPr>
          <w:p w:rsidR="003B4330" w:rsidRDefault="008118F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Success Criteria:</w:t>
            </w:r>
          </w:p>
        </w:tc>
        <w:tc>
          <w:tcPr>
            <w:tcW w:w="1762" w:type="dxa"/>
            <w:shd w:val="clear" w:color="auto" w:fill="A6A6A6"/>
          </w:tcPr>
          <w:p w:rsidR="003B4330" w:rsidRDefault="008118F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Lead/Role</w:t>
            </w:r>
          </w:p>
        </w:tc>
      </w:tr>
      <w:tr w:rsidR="003B4330">
        <w:tc>
          <w:tcPr>
            <w:tcW w:w="5807" w:type="dxa"/>
          </w:tcPr>
          <w:p w:rsidR="003B4330" w:rsidRDefault="008118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develop greater consistency in approach for providing opportunities for pupils to transfer numeracy skills and knowledge in meaningful ways across the curriculum.</w:t>
            </w:r>
          </w:p>
        </w:tc>
        <w:tc>
          <w:tcPr>
            <w:tcW w:w="6379" w:type="dxa"/>
          </w:tcPr>
          <w:p w:rsidR="003B4330" w:rsidRDefault="008118F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 consistent use of and improved application of numeracy skills is observed in cross-curricular contexts across all classes.</w:t>
            </w:r>
          </w:p>
          <w:p w:rsidR="003B4330" w:rsidRDefault="008118F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Progress data indicates improved attainment, particularly in reasoning strands.</w:t>
            </w:r>
          </w:p>
          <w:p w:rsidR="003B4330" w:rsidRDefault="008118F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Nearly all pupils make at least expected progress in the numeracy Personalised Assessments.</w:t>
            </w:r>
          </w:p>
          <w:p w:rsidR="003B4330" w:rsidRDefault="008118F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All teachers use a consistent planning approach to identify numeracy opportunities across subjects.</w:t>
            </w:r>
          </w:p>
          <w:p w:rsidR="003B4330" w:rsidRDefault="008118F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Joint planning and moderation show progression of numeracy skills across school.</w:t>
            </w:r>
          </w:p>
        </w:tc>
        <w:tc>
          <w:tcPr>
            <w:tcW w:w="1762" w:type="dxa"/>
          </w:tcPr>
          <w:p w:rsidR="003B4330" w:rsidRDefault="008118F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H. Gregory</w:t>
            </w:r>
          </w:p>
          <w:p w:rsidR="003B4330" w:rsidRDefault="008118F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A. Pughe</w:t>
            </w:r>
          </w:p>
        </w:tc>
      </w:tr>
      <w:tr w:rsidR="003B4330">
        <w:tc>
          <w:tcPr>
            <w:tcW w:w="5807" w:type="dxa"/>
            <w:shd w:val="clear" w:color="auto" w:fill="A6A6A6"/>
          </w:tcPr>
          <w:p w:rsidR="003B4330" w:rsidRDefault="008118F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Target 3:</w:t>
            </w:r>
          </w:p>
        </w:tc>
        <w:tc>
          <w:tcPr>
            <w:tcW w:w="6379" w:type="dxa"/>
            <w:shd w:val="clear" w:color="auto" w:fill="A6A6A6"/>
          </w:tcPr>
          <w:p w:rsidR="003B4330" w:rsidRDefault="008118F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Success Criteria:</w:t>
            </w:r>
          </w:p>
          <w:p w:rsidR="003B4330" w:rsidRDefault="003B4330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6A6A6"/>
          </w:tcPr>
          <w:p w:rsidR="003B4330" w:rsidRDefault="008118F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Lead/Role</w:t>
            </w:r>
          </w:p>
        </w:tc>
      </w:tr>
      <w:tr w:rsidR="003B4330">
        <w:tc>
          <w:tcPr>
            <w:tcW w:w="5807" w:type="dxa"/>
          </w:tcPr>
          <w:p w:rsidR="003B4330" w:rsidRDefault="008118F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Refine the approach to providing feedback to pupils across the school, ensuring it effectively moves learning forward and promotes pupil engagement and understanding.</w:t>
            </w:r>
          </w:p>
        </w:tc>
        <w:tc>
          <w:tcPr>
            <w:tcW w:w="6379" w:type="dxa"/>
          </w:tcPr>
          <w:p w:rsidR="003B4330" w:rsidRDefault="008118F6">
            <w:pPr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Nearly all staff will plan explicitly for the next steps in pupil learning, ensuring feed</w:t>
            </w:r>
            <w:r>
              <w:rPr>
                <w:rFonts w:ascii="Arial" w:eastAsia="Arial" w:hAnsi="Arial" w:cs="Arial"/>
                <w:sz w:val="20"/>
                <w:szCs w:val="20"/>
              </w:rPr>
              <w:t>back is purposeful, specific, and actionable.</w:t>
            </w:r>
          </w:p>
          <w:p w:rsidR="003B4330" w:rsidRDefault="008118F6">
            <w:pPr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Most pupils will engage effectively in self- and peer-assessment, using agreed success criteria to identify strengths and next steps in learning.</w:t>
            </w:r>
          </w:p>
          <w:p w:rsidR="003B4330" w:rsidRDefault="008118F6">
            <w:pPr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Nearly all teachers will use questioning as a form of feedback t</w:t>
            </w:r>
            <w:r>
              <w:rPr>
                <w:rFonts w:ascii="Arial" w:eastAsia="Arial" w:hAnsi="Arial" w:cs="Arial"/>
                <w:sz w:val="20"/>
                <w:szCs w:val="20"/>
              </w:rPr>
              <w:t>o deepen understanding, address misconceptions, and encourage pupils to explain and reflect on their thinking.</w:t>
            </w:r>
          </w:p>
          <w:p w:rsidR="003B4330" w:rsidRDefault="008118F6">
            <w:pPr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Nearly all feedback (oral, written, or digital) will be timely, clear, and accessible, with pupils expected to act on it to improve their work.</w:t>
            </w:r>
          </w:p>
          <w:p w:rsidR="003B4330" w:rsidRDefault="008118F6">
            <w:pPr>
              <w:numPr>
                <w:ilvl w:val="0"/>
                <w:numId w:val="3"/>
              </w:num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onitoring through lesson observations, learning walks, and listening to learner evidence will show that feedback is moving learning forward and that pupils understand how to improve.</w:t>
            </w:r>
          </w:p>
        </w:tc>
        <w:tc>
          <w:tcPr>
            <w:tcW w:w="1762" w:type="dxa"/>
          </w:tcPr>
          <w:p w:rsidR="003B4330" w:rsidRDefault="008118F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J. Jones</w:t>
            </w:r>
          </w:p>
        </w:tc>
      </w:tr>
      <w:tr w:rsidR="003B4330">
        <w:tc>
          <w:tcPr>
            <w:tcW w:w="5807" w:type="dxa"/>
            <w:shd w:val="clear" w:color="auto" w:fill="A6A6A6"/>
          </w:tcPr>
          <w:p w:rsidR="003B4330" w:rsidRDefault="003B4330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3B4330" w:rsidRDefault="008118F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Target: 4</w:t>
            </w:r>
          </w:p>
        </w:tc>
        <w:tc>
          <w:tcPr>
            <w:tcW w:w="6379" w:type="dxa"/>
            <w:shd w:val="clear" w:color="auto" w:fill="A6A6A6"/>
          </w:tcPr>
          <w:p w:rsidR="003B4330" w:rsidRDefault="008118F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Success Criteria</w:t>
            </w:r>
          </w:p>
        </w:tc>
        <w:tc>
          <w:tcPr>
            <w:tcW w:w="1762" w:type="dxa"/>
            <w:shd w:val="clear" w:color="auto" w:fill="A6A6A6"/>
          </w:tcPr>
          <w:p w:rsidR="003B4330" w:rsidRDefault="008118F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Lead/Role</w:t>
            </w:r>
          </w:p>
        </w:tc>
      </w:tr>
      <w:tr w:rsidR="003B4330">
        <w:trPr>
          <w:trHeight w:val="3919"/>
        </w:trPr>
        <w:tc>
          <w:tcPr>
            <w:tcW w:w="5807" w:type="dxa"/>
          </w:tcPr>
          <w:p w:rsidR="003B4330" w:rsidRDefault="008118F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Strengthen the quality and impact of feedback to teachers following monitoring activities.</w:t>
            </w:r>
          </w:p>
        </w:tc>
        <w:tc>
          <w:tcPr>
            <w:tcW w:w="6379" w:type="dxa"/>
          </w:tcPr>
          <w:p w:rsidR="003B4330" w:rsidRDefault="008118F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333333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333333"/>
                <w:sz w:val="20"/>
                <w:szCs w:val="20"/>
                <w:highlight w:val="white"/>
              </w:rPr>
              <w:t>Performance management targets are individualised, measurable, and aligned with school priorities</w:t>
            </w:r>
          </w:p>
          <w:p w:rsidR="003B4330" w:rsidRDefault="008118F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Improvement in pupil attainment is linked to teacher performance targets</w:t>
            </w:r>
          </w:p>
          <w:p w:rsidR="003B4330" w:rsidRDefault="008118F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333333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333333"/>
                <w:sz w:val="20"/>
                <w:szCs w:val="20"/>
                <w:highlight w:val="white"/>
              </w:rPr>
              <w:t>Teachers receive timely, actionable feedback within 5 days of monitoring</w:t>
            </w:r>
          </w:p>
          <w:p w:rsidR="003B4330" w:rsidRDefault="008118F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333333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333333"/>
                <w:sz w:val="20"/>
                <w:szCs w:val="20"/>
                <w:highlight w:val="white"/>
              </w:rPr>
              <w:t>Staff are proactive in addressing identified areas for improvement</w:t>
            </w:r>
          </w:p>
          <w:p w:rsidR="003B4330" w:rsidRDefault="008118F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333333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color w:val="333333"/>
                <w:sz w:val="20"/>
                <w:szCs w:val="20"/>
                <w:highlight w:val="white"/>
              </w:rPr>
              <w:t>Consistent use of assessment data by all te</w:t>
            </w:r>
            <w:r>
              <w:rPr>
                <w:rFonts w:ascii="Arial" w:eastAsia="Arial" w:hAnsi="Arial" w:cs="Arial"/>
                <w:color w:val="333333"/>
                <w:sz w:val="20"/>
                <w:szCs w:val="20"/>
                <w:highlight w:val="white"/>
              </w:rPr>
              <w:t>achers</w:t>
            </w:r>
          </w:p>
          <w:p w:rsidR="003B4330" w:rsidRDefault="003B4330">
            <w:pPr>
              <w:ind w:left="36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2" w:type="dxa"/>
          </w:tcPr>
          <w:p w:rsidR="003B4330" w:rsidRDefault="008118F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H. Gregory</w:t>
            </w:r>
          </w:p>
          <w:p w:rsidR="003B4330" w:rsidRDefault="003B4330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B4330">
        <w:tc>
          <w:tcPr>
            <w:tcW w:w="5807" w:type="dxa"/>
            <w:shd w:val="clear" w:color="auto" w:fill="AEAAAA"/>
          </w:tcPr>
          <w:p w:rsidR="003B4330" w:rsidRDefault="003B4330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6379" w:type="dxa"/>
            <w:shd w:val="clear" w:color="auto" w:fill="AEAAAA"/>
          </w:tcPr>
          <w:p w:rsidR="003B4330" w:rsidRDefault="003B4330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AEAAAA"/>
          </w:tcPr>
          <w:p w:rsidR="003B4330" w:rsidRDefault="008118F6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Lead/Role</w:t>
            </w:r>
          </w:p>
        </w:tc>
      </w:tr>
      <w:tr w:rsidR="003B4330">
        <w:tc>
          <w:tcPr>
            <w:tcW w:w="5807" w:type="dxa"/>
          </w:tcPr>
          <w:p w:rsidR="003B4330" w:rsidRDefault="003B4330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379" w:type="dxa"/>
          </w:tcPr>
          <w:p w:rsidR="003B4330" w:rsidRDefault="003B43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bookmarkStart w:id="1" w:name="_heading=h.jakuyi1t5lv0" w:colFirst="0" w:colLast="0"/>
            <w:bookmarkEnd w:id="1"/>
          </w:p>
        </w:tc>
        <w:tc>
          <w:tcPr>
            <w:tcW w:w="1762" w:type="dxa"/>
          </w:tcPr>
          <w:p w:rsidR="003B4330" w:rsidRDefault="003B4330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3B4330" w:rsidRDefault="003B4330">
      <w:pPr>
        <w:rPr>
          <w:rFonts w:ascii="Arial" w:eastAsia="Arial" w:hAnsi="Arial" w:cs="Arial"/>
          <w:sz w:val="20"/>
          <w:szCs w:val="20"/>
        </w:rPr>
      </w:pPr>
    </w:p>
    <w:sectPr w:rsidR="003B4330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8118F6">
      <w:pPr>
        <w:spacing w:after="0" w:line="240" w:lineRule="auto"/>
      </w:pPr>
      <w:r>
        <w:separator/>
      </w:r>
    </w:p>
  </w:endnote>
  <w:endnote w:type="continuationSeparator" w:id="0">
    <w:p w:rsidR="00000000" w:rsidRDefault="00811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ncing Script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330" w:rsidRDefault="008118F6">
    <w:pPr>
      <w:spacing w:line="240" w:lineRule="auto"/>
      <w:jc w:val="center"/>
      <w:rPr>
        <w:rFonts w:ascii="Dancing Script" w:eastAsia="Dancing Script" w:hAnsi="Dancing Script" w:cs="Dancing Script"/>
        <w:sz w:val="36"/>
        <w:szCs w:val="36"/>
      </w:rPr>
    </w:pPr>
    <w:r>
      <w:rPr>
        <w:rFonts w:ascii="Dancing Script" w:eastAsia="Dancing Script" w:hAnsi="Dancing Script" w:cs="Dancing Script"/>
        <w:b/>
        <w:sz w:val="36"/>
        <w:szCs w:val="36"/>
        <w:u w:val="single"/>
      </w:rPr>
      <w:t>Dream Believe Achieve</w:t>
    </w:r>
    <w:r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8311514</wp:posOffset>
          </wp:positionH>
          <wp:positionV relativeFrom="paragraph">
            <wp:posOffset>213360</wp:posOffset>
          </wp:positionV>
          <wp:extent cx="551815" cy="551815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815" cy="5518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>
          <wp:simplePos x="0" y="0"/>
          <wp:positionH relativeFrom="column">
            <wp:posOffset>1</wp:posOffset>
          </wp:positionH>
          <wp:positionV relativeFrom="paragraph">
            <wp:posOffset>215900</wp:posOffset>
          </wp:positionV>
          <wp:extent cx="551815" cy="551815"/>
          <wp:effectExtent l="0" t="0" r="0" b="0"/>
          <wp:wrapNone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815" cy="5518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3B4330" w:rsidRDefault="003B433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8118F6">
      <w:pPr>
        <w:spacing w:after="0" w:line="240" w:lineRule="auto"/>
      </w:pPr>
      <w:r>
        <w:separator/>
      </w:r>
    </w:p>
  </w:footnote>
  <w:footnote w:type="continuationSeparator" w:id="0">
    <w:p w:rsidR="00000000" w:rsidRDefault="008118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330" w:rsidRDefault="008118F6">
    <w:pPr>
      <w:spacing w:line="240" w:lineRule="auto"/>
      <w:jc w:val="center"/>
      <w:rPr>
        <w:rFonts w:ascii="Arial" w:eastAsia="Arial" w:hAnsi="Arial" w:cs="Arial"/>
        <w:b/>
        <w:sz w:val="36"/>
        <w:szCs w:val="36"/>
      </w:rPr>
    </w:pPr>
    <w:r>
      <w:rPr>
        <w:rFonts w:ascii="Arial" w:eastAsia="Arial" w:hAnsi="Arial" w:cs="Arial"/>
        <w:b/>
        <w:sz w:val="36"/>
        <w:szCs w:val="36"/>
      </w:rPr>
      <w:t>SIP Priorities and Success Criteria 2025-2026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8311514</wp:posOffset>
          </wp:positionH>
          <wp:positionV relativeFrom="paragraph">
            <wp:posOffset>-167639</wp:posOffset>
          </wp:positionV>
          <wp:extent cx="551815" cy="551815"/>
          <wp:effectExtent l="0" t="0" r="0" b="0"/>
          <wp:wrapNone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815" cy="5518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9738360</wp:posOffset>
          </wp:positionH>
          <wp:positionV relativeFrom="paragraph">
            <wp:posOffset>-92074</wp:posOffset>
          </wp:positionV>
          <wp:extent cx="551815" cy="551815"/>
          <wp:effectExtent l="0" t="0" r="0" b="0"/>
          <wp:wrapNone/>
          <wp:docPr id="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815" cy="5518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460AA"/>
    <w:multiLevelType w:val="multilevel"/>
    <w:tmpl w:val="253485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5C64586"/>
    <w:multiLevelType w:val="multilevel"/>
    <w:tmpl w:val="F10CE2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BB3614E"/>
    <w:multiLevelType w:val="multilevel"/>
    <w:tmpl w:val="78560F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3D43393"/>
    <w:multiLevelType w:val="multilevel"/>
    <w:tmpl w:val="762A9E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330"/>
    <w:rsid w:val="003B4330"/>
    <w:rsid w:val="00811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C377E9-0570-42FB-BAD2-61F576454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5275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759C"/>
  </w:style>
  <w:style w:type="paragraph" w:styleId="Footer">
    <w:name w:val="footer"/>
    <w:basedOn w:val="Normal"/>
    <w:link w:val="FooterChar"/>
    <w:uiPriority w:val="99"/>
    <w:unhideWhenUsed/>
    <w:rsid w:val="005275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759C"/>
  </w:style>
  <w:style w:type="paragraph" w:styleId="ListParagraph">
    <w:name w:val="List Paragraph"/>
    <w:basedOn w:val="Normal"/>
    <w:uiPriority w:val="34"/>
    <w:qFormat/>
    <w:rsid w:val="0052759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52759C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15F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F52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h5S+YgK7GO2TDRbM1zyjhZamng==">CgMxLjAyDmguamFrdXlpMXQ1bHYwOAByITFJc3lkMmd3RXdob2Y1RkZPcXltMGhEX0ltQU9QN3V1bw==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Kucia, Julie</dc:creator>
  <cp:lastModifiedBy>Helen Gregory</cp:lastModifiedBy>
  <cp:revision>2</cp:revision>
  <dcterms:created xsi:type="dcterms:W3CDTF">2025-09-22T09:50:00Z</dcterms:created>
  <dcterms:modified xsi:type="dcterms:W3CDTF">2025-09-22T09:50:00Z</dcterms:modified>
</cp:coreProperties>
</file>